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Osobne, usluge zaštite i druge usluge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Физичке, услуге заштите и друге услуге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Kozmetičar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Козметичар – јединствени модел образовања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3.d/1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3.д/1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Snežana Živković, strukovni učitelj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СнежанаЖивковић, струковни учитељ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Теме за израду и обрану завршног рада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Andreja Đurić / Андреја Ђурић: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Korekcija i bojanje obrva i trepavica - lash i brow lift / Корекција и бојање обрва и трепавица - lash i brow lift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Sanja Mirosavljević / Сања Миросављевић: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Masaža cijelog tijela / Масажа целог тела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Ivana Nedić / Ивана Недић: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Higijenski tretman lica mješovite kože / Хигијенски третман лица мешовите коже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Anastasija Rusić / Анастасија Русић: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Depilacija ruku liposolubilnim voskom i  nogu voskom u patronama / Депилација руку липосолубилним воском и ногу воском у патронама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66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66" w:hanging="357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9B1270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j0koOlr9i03yH7XxK5thn66ww==">CgMxLjA4AHIhMWdkbUpWOEJYYm9ZVjFHYkpHZThXQmJqc3ZvR2h6NzA3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2021-10-21T09:36:00Z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